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2021 115 vom 15. Juli 2021</w:t>
      </w:r>
    </w:p>
    <w:p>
      <w:r>
        <w:t>BE Obergericht, 2021-07-15, DE</w:t>
      </w:r>
    </w:p>
    <w:p>
      <w:r>
        <w:rPr>
          <w:b/>
        </w:rPr>
        <w:t xml:space="preserve">Quelle: </w:t>
      </w:r>
      <w:r>
        <w:t>https://mcp.opencaselaw.ch/entscheid/be_zivilstraf_ABS 2021 115</w:t>
      </w:r>
    </w:p>
    <w:p>
      <w:r>
        <w:t>FR: BE_ZIVILSTRAF ABS 2021 115 du 15 juillet 2021</w:t>
      </w:r>
    </w:p>
    <w:p>
      <w:r>
        <w:t>IT: BE_ZIVILSTRAF ABS 2021 115 del 15 luglio 2021</w:t>
      </w:r>
    </w:p>
    <w:p>
      <w:pPr>
        <w:pStyle w:val="Heading2"/>
      </w:pPr>
      <w:r>
        <w:t>Regeste</w:t>
      </w:r>
    </w:p>
    <w:p>
      <w:r>
        <w:t>Vorsorgliche Massnahmen zur Sicherung der Pfändungsrechte | BA BM, DS Mittelland</w:t>
      </w:r>
    </w:p>
    <w:p>
      <w:pPr>
        <w:pStyle w:val="Heading2"/>
      </w:pPr>
      <w:r>
        <w:t>Erwägungen</w:t>
      </w:r>
    </w:p>
    <w:p>
      <w:r>
        <w:rPr>
          <w:b/>
        </w:rPr>
        <w:t>E. 1</w:t>
      </w:r>
    </w:p>
    <w:p>
      <w:r>
        <w:t>Gegen den Schuldner sind beim Betreibungsamt Bern-Mittelland, Dienststelle Mittelland, mehrere Pfändungsgruppen hängig. In der ersten Pfändungsgruppe (Nr. ___) wurde der Schuldner von der B.________ für eine Forderung von CHF 976.85 belangt. Am 20. Januar 2021 konnte die Pfändung im Beisein des Schuldners auf dem Amt vollzogen werden. Ausser wertlosen Beteiligungen gab er keine Vermögenswerte an. Einkünfte erzielt der Schuldner ebenfalls nicht (Pfändungsprotokoll, Vernehmlassungsbeilage [VB] 2). Die Dienststelle Mittelland brachte indes in Erfahrung, dass der Schuldner der C.________ mit Schadensdatum vom 15. Januar 2021 den Diebstahl seines E-Bikes gemeldet hatte. Gemäss Auskunft des Versicherers war das Fahrrad zu einem Neuwert von CHF 6'000.00 versichert. Weder den Besitz des Fahr- rades noch das Bestehen eines Versicherungsanspruchs erwähnte der Schuldner anlässlich des Pfändungsvollzugs. In der Folge pfändete die Dienststelle Mittelland die Forderung des Schuldners gegenüber dem Versicherer (VB 11). Am 15. März 2021 ging eine Zahlung von CHF 5'094.20 beim Betreibungsamt ein. Die Forderung der B.________ konn- te aus dieser Zahlung vollständig gedeckt werden. Es verblieb eine Restanz von CHF 3'822.45.</w:t>
      </w:r>
    </w:p>
    <w:p>
      <w:r>
        <w:rPr>
          <w:b/>
        </w:rPr>
        <w:t>E. 2</w:t>
      </w:r>
    </w:p>
    <w:p>
      <w:r>
        <w:t>Die Pfändungsurkunde konnte dem Schuldner am 26. März 2021 zugestellt werden (VB 3). Daraufhin - und offenbar auch schon zuvor - verlangte er die Rückzahlung der restanzlichen CHF 3'822.45, was ihm angeblich zugesichert worden sei. Kurz nach dem Versand der Pfändungsurkunde in der ersten Gruppe, nämlich am 31. März 2021, langten bei der Dienststelle Mittelland zwei Fortsetzungsbegehren der D.________ für eine Forderungssumme von insgesamt CHF 2'476.45, zzgl. Akzessorien ein (VB 14). Die Pfändung in der (neuen) Pfändungsgruppe-Nr. ___ wurde auf den 20. April 2021 anberaumt.</w:t>
      </w:r>
    </w:p>
    <w:p>
      <w:r>
        <w:rPr>
          <w:b/>
        </w:rPr>
        <w:t>E. 3</w:t>
      </w:r>
    </w:p>
    <w:p>
      <w:r>
        <w:t>Mit Rechtsverweigerungsbeschwerde vom</w:t>
      </w:r>
    </w:p>
    <w:p>
      <w:r>
        <w:rPr>
          <w:b/>
        </w:rPr>
        <w:t>E. 6</w:t>
      </w:r>
    </w:p>
    <w:p>
      <w:r>
        <w:t>Es trifft zwar grundsätzlich zu, dass der Umfang der Pfändung auf das zu be- schränken ist, was zur Deckung der betriebenen Forderung nötig ist (Art. 97 Abs. 2 SchKG). Anders gewendet: Zu viel gepfändetes Vermögenssubstrat ist dem Schuldner zurückzuerstatten, wenn die Schuld vollständig getilgt worden ist.</w:t>
      </w:r>
    </w:p>
    <w:p>
      <w:r>
        <w:rPr>
          <w:b/>
        </w:rPr>
        <w:t>E. 7</w:t>
      </w:r>
    </w:p>
    <w:p>
      <w:r>
        <w:t>Allerdings kann von diesem Grundsatz abgewichen werden, namentlich wenn es um die Sicherung weiterer Pfändungen geht. Neben den im Gesetz ausdrücklich geregelten Sicherungsmassnahmen (Art. 98 ff.) sind nach der Rechtsprechung des Bundesgerichts im Pfändungsverfahren auch vorsorgliche Massnahmen zulässig, insbesondere, wenn dies zur Erhaltung von Vermögensstücken, zur Vorbereitung der Pfändung und zum Schutze der Gläubigerinteressen notwendig ist. Solche Massnahmen können unmittelbar nach Eingang des Fortsetzungsbegehrens und zwar nicht nur während geschlossener Zeiten, Betreibungsferien und Rechtsstillstand (Art. 56 ff. SchKG), sondern insbesondere auch bevor die Pfändung angekündigt wird, vollzogen bzw. angeordnet werden. Nachdem solche Massnahmen massiv in die Stellung des betriebenen Schuldners eingreifen, ist Voraussetzung für die Zulässigkeit solcher Massnahmen, dass eine besondere Dringlichkeit vorliegt (BGE 115 III 41 E 2, 107 III 67 E 2). Sind</w:t>
      </w:r>
    </w:p>
    <w:p>
      <w:r>
        <w:t>4 die Voraussetzungen erfüllt, kann das Betreibungsamt sofort nach Eingang des Fortsetzungsbegehrens u.a. die Siegelung von Räumen, die Verwahrung von Gegenständen oder die Sperrung sämtlicher Guthaben des betriebenen Schuldners bei Dritten durch Anzeige veranlassen (LEBRECHT, Basler Kommentar zum SchKG, 2. Auflage 2010, N. 7 f. zu Art. 90 SchKG sowie N. 7 und 9 zu Art. 99 SchKG). Erst recht muss es nach dem Gesagten zulässig sein, zu viel gepfändetes Gut aus einer Vorgruppe, welches sich bereits im Gewahrsam des Betreibungsamtes befindet, vorsorglich sicherzustellen, wenn - wie hier - praktisch gleichzeitig mit dem Versenden der Pfändungsurkunde neue Fortsetzungsbegehren gestellt werden.</w:t>
      </w:r>
    </w:p>
    <w:p>
      <w:r>
        <w:rPr>
          <w:b/>
        </w:rPr>
        <w:t>E. 8</w:t>
      </w:r>
    </w:p>
    <w:p>
      <w:r>
        <w:t>Bleibt zu klären, ob Dringlichkeit vorlag: Der Schuldner ist ohne Einkünfte und wird von den Eltern unterstützt. Gegen ihn sind mehrere Verlustscheine verzeichnet und anlässlich des Pfändungsvollzuges hat er Vermögenswerte verheimlicht. Bei dieser Ausgangslage hätte eine umgehende Rückzahlung an den Schuldner mit hoher Wahrscheinlichkeit zur Folge gehabt, dass die Gläubiger der zweiten Pfändungsgruppe leer ausgegangen und Gläubigerinteressen irreversibel geschädigt worden wären. Damit ist eine besondere Dringlichkeit zur Sicherung des zurückbehaltenen Betrages ausgewiesen, womit die Voraussetzungen für den Eingriff in die Rechte des betriebenen Schuldners erfüllt waren.</w:t>
      </w:r>
    </w:p>
    <w:p>
      <w:r>
        <w:rPr>
          <w:b/>
        </w:rPr>
        <w:t>E. 9</w:t>
      </w:r>
    </w:p>
    <w:p>
      <w:r>
        <w:t>Es mag sein, dass dem Schuldner vor Eingang der neuen Fortsetzungsbegehren die Rückzahlung des Überschusses in Aussicht gestellt worden ist. Ohne neue Pfändungen wäre einer Rückzahlung auch nichts im Wege gestanden. Mit dem Einlangen neuer Fortsetzungsbegehren kurz nach Ausfertigung und Versand der Pfändungsurkunde änderten sich allerdings die massgeblichen Verhältnisse, so dass das Amt zu einer vorsorglichen Sicherung schreiten durfte. Nach dem Gesagten ist die Beschwerde abzuweisen, soweit sie nicht gegenstandslos geworden ist.</w:t>
      </w:r>
    </w:p>
    <w:p>
      <w:r>
        <w:rPr>
          <w:b/>
        </w:rPr>
        <w:t>E. 10</w:t>
      </w:r>
    </w:p>
    <w:p>
      <w:r>
        <w:t>Im betreibungs- und konkursrechtliche Beschwerdeverfahren werden weder Gerichtskosten erhoben noch Parteientschädigungen gesprochen (Art. 20a SchKG und Art. 61 Abs. 2 sowie Art. 62 Abs. 2 GebV SchKG)</w:t>
      </w:r>
    </w:p>
    <w:p>
      <w:r>
        <w:t>5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